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626F" w14:textId="7C498F55" w:rsidR="00753C08" w:rsidRDefault="0339556A" w:rsidP="44C63251">
      <w:pPr>
        <w:spacing w:before="240" w:after="240"/>
      </w:pPr>
      <w:r w:rsidRPr="44C63251">
        <w:rPr>
          <w:rFonts w:ascii="Aptos" w:eastAsia="Aptos" w:hAnsi="Aptos" w:cs="Aptos"/>
          <w:b/>
          <w:bCs/>
        </w:rPr>
        <w:t xml:space="preserve">"Announcement of the National Medical Products Administration on the Release of the Appendix on Pharmaceutical Excipients and Pharmaceutical Packaging Materials to </w:t>
      </w:r>
      <w:proofErr w:type="gramStart"/>
      <w:r w:rsidRPr="44C63251">
        <w:rPr>
          <w:rFonts w:ascii="Aptos" w:eastAsia="Aptos" w:hAnsi="Aptos" w:cs="Aptos"/>
          <w:b/>
          <w:bCs/>
        </w:rPr>
        <w:t>the Good</w:t>
      </w:r>
      <w:proofErr w:type="gramEnd"/>
      <w:r w:rsidRPr="44C63251">
        <w:rPr>
          <w:rFonts w:ascii="Aptos" w:eastAsia="Aptos" w:hAnsi="Aptos" w:cs="Aptos"/>
          <w:b/>
          <w:bCs/>
        </w:rPr>
        <w:t xml:space="preserve"> Manufacturing Practice (2025 No. 1)"</w:t>
      </w:r>
    </w:p>
    <w:p w14:paraId="292C6BCC" w14:textId="25CD5AE2" w:rsidR="00753C08" w:rsidRDefault="00753C08"/>
    <w:p w14:paraId="0BA7F001" w14:textId="799D5D59" w:rsidR="00753C08" w:rsidRDefault="0339556A" w:rsidP="44C63251">
      <w:pPr>
        <w:spacing w:before="240" w:after="240"/>
      </w:pPr>
      <w:r w:rsidRPr="44C63251">
        <w:rPr>
          <w:rFonts w:ascii="Aptos" w:eastAsia="Aptos" w:hAnsi="Aptos" w:cs="Aptos"/>
          <w:b/>
          <w:bCs/>
        </w:rPr>
        <w:t>Issued: January 2, 2025</w:t>
      </w:r>
    </w:p>
    <w:p w14:paraId="3B811533" w14:textId="4F83B707" w:rsidR="00753C08" w:rsidRDefault="0339556A" w:rsidP="44C63251">
      <w:pPr>
        <w:spacing w:before="240" w:after="240"/>
      </w:pPr>
      <w:r w:rsidRPr="44C63251">
        <w:rPr>
          <w:rFonts w:ascii="Aptos" w:eastAsia="Aptos" w:hAnsi="Aptos" w:cs="Aptos"/>
        </w:rPr>
        <w:t xml:space="preserve">To implement the </w:t>
      </w:r>
      <w:r w:rsidRPr="44C63251">
        <w:rPr>
          <w:rFonts w:ascii="Aptos" w:eastAsia="Aptos" w:hAnsi="Aptos" w:cs="Aptos"/>
          <w:i/>
          <w:iCs/>
        </w:rPr>
        <w:t>Drug Administration Law of the People's Republic of China</w:t>
      </w:r>
      <w:r w:rsidRPr="44C63251">
        <w:rPr>
          <w:rFonts w:ascii="Aptos" w:eastAsia="Aptos" w:hAnsi="Aptos" w:cs="Aptos"/>
        </w:rPr>
        <w:t xml:space="preserve">, its implementation regulations, and related measures, and to guide and supervise the standardized production of pharmaceutical excipients and packaging materials, the National Medical Products Administration (NMPA) has formulated appendices for these materials based on Article 310 of the </w:t>
      </w:r>
      <w:r w:rsidRPr="44C63251">
        <w:rPr>
          <w:rFonts w:ascii="Aptos" w:eastAsia="Aptos" w:hAnsi="Aptos" w:cs="Aptos"/>
          <w:i/>
          <w:iCs/>
        </w:rPr>
        <w:t>Good Manufacturing Practice for Pharmaceutical Products (2010 Revision)</w:t>
      </w:r>
      <w:r w:rsidRPr="44C63251">
        <w:rPr>
          <w:rFonts w:ascii="Aptos" w:eastAsia="Aptos" w:hAnsi="Aptos" w:cs="Aptos"/>
        </w:rPr>
        <w:t>. These appendices are now officially released (see Attachments 1 and 2), with the following key points:</w:t>
      </w:r>
    </w:p>
    <w:p w14:paraId="5926193E" w14:textId="52F03A89" w:rsidR="00753C08" w:rsidRDefault="00753C08"/>
    <w:p w14:paraId="708B963E" w14:textId="632814CE" w:rsidR="00753C08" w:rsidRDefault="0339556A" w:rsidP="44C63251">
      <w:pPr>
        <w:pStyle w:val="Heading3"/>
        <w:spacing w:before="281" w:after="281"/>
      </w:pPr>
      <w:r w:rsidRPr="44C63251">
        <w:rPr>
          <w:rFonts w:ascii="Aptos" w:eastAsia="Aptos" w:hAnsi="Aptos" w:cs="Aptos"/>
          <w:b/>
          <w:bCs/>
        </w:rPr>
        <w:t>1. Pharmaceutical Excipients and Packaging Material Manufacturers Must Establish Robust Quality Management Systems</w:t>
      </w:r>
    </w:p>
    <w:p w14:paraId="2D2DF524" w14:textId="6FE2E09F" w:rsidR="00753C08" w:rsidRDefault="0339556A" w:rsidP="44C63251">
      <w:pPr>
        <w:spacing w:before="240" w:after="240"/>
      </w:pPr>
      <w:r w:rsidRPr="44C63251">
        <w:rPr>
          <w:rFonts w:ascii="Aptos" w:eastAsia="Aptos" w:hAnsi="Aptos" w:cs="Aptos"/>
          <w:b/>
          <w:bCs/>
        </w:rPr>
        <w:t>(1) Fulfill Primary Responsibility for Product Quality</w:t>
      </w:r>
    </w:p>
    <w:p w14:paraId="3052F54C" w14:textId="410E02E3" w:rsidR="00753C08" w:rsidRDefault="0339556A" w:rsidP="44C63251">
      <w:pPr>
        <w:spacing w:before="240" w:after="240"/>
      </w:pPr>
      <w:r w:rsidRPr="44C63251">
        <w:rPr>
          <w:rFonts w:ascii="Aptos" w:eastAsia="Aptos" w:hAnsi="Aptos" w:cs="Aptos"/>
        </w:rPr>
        <w:t xml:space="preserve"> Manufacturers must establish quality systems aligned with the appendices, ensure appropriate staffing and documentation, regularly assess raw material suppliers, and produce according to the registered information on the NMPA’s platform. Each batch must be tested and approved by the quality department before release.</w:t>
      </w:r>
    </w:p>
    <w:p w14:paraId="0A7FB75D" w14:textId="5782CAF7" w:rsidR="00753C08" w:rsidRDefault="0339556A" w:rsidP="44C63251">
      <w:pPr>
        <w:spacing w:before="240" w:after="240"/>
      </w:pPr>
      <w:r w:rsidRPr="44C63251">
        <w:rPr>
          <w:rFonts w:ascii="Aptos" w:eastAsia="Aptos" w:hAnsi="Aptos" w:cs="Aptos"/>
          <w:b/>
          <w:bCs/>
        </w:rPr>
        <w:t>(2) Strict Change Management</w:t>
      </w:r>
    </w:p>
    <w:p w14:paraId="61294121" w14:textId="77A146A9" w:rsidR="00753C08" w:rsidRDefault="0339556A" w:rsidP="44C63251">
      <w:pPr>
        <w:spacing w:before="240" w:after="240"/>
      </w:pPr>
      <w:r w:rsidRPr="44C63251">
        <w:rPr>
          <w:rFonts w:ascii="Aptos" w:eastAsia="Aptos" w:hAnsi="Aptos" w:cs="Aptos"/>
        </w:rPr>
        <w:t xml:space="preserve"> Manufacturers must implement change control systems, classify changes based on risk, conduct necessary studies, and update the NMPA registration platform. Significant changes (e.g., process, raw materials, site) must be </w:t>
      </w:r>
      <w:proofErr w:type="gramStart"/>
      <w:r w:rsidRPr="44C63251">
        <w:rPr>
          <w:rFonts w:ascii="Aptos" w:eastAsia="Aptos" w:hAnsi="Aptos" w:cs="Aptos"/>
        </w:rPr>
        <w:t>communicated</w:t>
      </w:r>
      <w:proofErr w:type="gramEnd"/>
      <w:r w:rsidRPr="44C63251">
        <w:rPr>
          <w:rFonts w:ascii="Aptos" w:eastAsia="Aptos" w:hAnsi="Aptos" w:cs="Aptos"/>
        </w:rPr>
        <w:t xml:space="preserve"> with the drug marketing authorization holder (MAH).</w:t>
      </w:r>
    </w:p>
    <w:p w14:paraId="589E6A3B" w14:textId="1A0A81EC" w:rsidR="00753C08" w:rsidRDefault="0339556A" w:rsidP="44C63251">
      <w:pPr>
        <w:spacing w:before="240" w:after="240"/>
      </w:pPr>
      <w:r w:rsidRPr="44C63251">
        <w:rPr>
          <w:rFonts w:ascii="Aptos" w:eastAsia="Aptos" w:hAnsi="Aptos" w:cs="Aptos"/>
          <w:b/>
          <w:bCs/>
        </w:rPr>
        <w:t>(3) Strengthen External Collaboration</w:t>
      </w:r>
    </w:p>
    <w:p w14:paraId="3E4E8CD5" w14:textId="5FB474D5" w:rsidR="00753C08" w:rsidRDefault="0339556A" w:rsidP="44C63251">
      <w:pPr>
        <w:spacing w:before="240" w:after="240"/>
      </w:pPr>
      <w:r w:rsidRPr="44C63251">
        <w:rPr>
          <w:rFonts w:ascii="Aptos" w:eastAsia="Aptos" w:hAnsi="Aptos" w:cs="Aptos"/>
        </w:rPr>
        <w:t xml:space="preserve"> Manufacturers must cooperate with MAHs during audits, provide complete documentation, and support quality activities like complaints, returns, and recalls. For outsourced testing, quality agreements must be signed with testing institutions.</w:t>
      </w:r>
    </w:p>
    <w:p w14:paraId="2C9F48D5" w14:textId="4539856C" w:rsidR="00753C08" w:rsidRDefault="00753C08"/>
    <w:p w14:paraId="1BF32681" w14:textId="42124462" w:rsidR="00753C08" w:rsidRDefault="0339556A" w:rsidP="44C63251">
      <w:pPr>
        <w:pStyle w:val="Heading3"/>
        <w:spacing w:before="281" w:after="281"/>
      </w:pPr>
      <w:r w:rsidRPr="44C63251">
        <w:rPr>
          <w:rFonts w:ascii="Aptos" w:eastAsia="Aptos" w:hAnsi="Aptos" w:cs="Aptos"/>
          <w:b/>
          <w:bCs/>
        </w:rPr>
        <w:t>2. MAHs Must Strengthen Management of Excipients and Packaging Materials</w:t>
      </w:r>
    </w:p>
    <w:p w14:paraId="075E15A4" w14:textId="65F58C16" w:rsidR="00753C08" w:rsidRDefault="0339556A" w:rsidP="44C63251">
      <w:pPr>
        <w:spacing w:before="240" w:after="240"/>
      </w:pPr>
      <w:r w:rsidRPr="44C63251">
        <w:rPr>
          <w:rFonts w:ascii="Aptos" w:eastAsia="Aptos" w:hAnsi="Aptos" w:cs="Aptos"/>
          <w:b/>
          <w:bCs/>
        </w:rPr>
        <w:t>(4) Fulfill Responsibility for Drug Quality and Safety</w:t>
      </w:r>
    </w:p>
    <w:p w14:paraId="5E16C5DC" w14:textId="1BE371F0" w:rsidR="00753C08" w:rsidRDefault="0339556A" w:rsidP="44C63251">
      <w:pPr>
        <w:spacing w:before="240" w:after="240"/>
      </w:pPr>
      <w:r w:rsidRPr="44C63251">
        <w:rPr>
          <w:rFonts w:ascii="Aptos" w:eastAsia="Aptos" w:hAnsi="Aptos" w:cs="Aptos"/>
        </w:rPr>
        <w:t xml:space="preserve"> MAHs must establish quality systems, sign quality agreements with key suppliers, and ensure materials meet intended use and quality standards.</w:t>
      </w:r>
    </w:p>
    <w:p w14:paraId="0D0C3344" w14:textId="471A9B78" w:rsidR="00753C08" w:rsidRDefault="0339556A" w:rsidP="44C63251">
      <w:pPr>
        <w:spacing w:before="240" w:after="240"/>
      </w:pPr>
      <w:r w:rsidRPr="44C63251">
        <w:rPr>
          <w:rFonts w:ascii="Aptos" w:eastAsia="Aptos" w:hAnsi="Aptos" w:cs="Aptos"/>
          <w:b/>
          <w:bCs/>
        </w:rPr>
        <w:t>(5) Strengthen Supplier Audits</w:t>
      </w:r>
    </w:p>
    <w:p w14:paraId="6BDC43F5" w14:textId="4C13902B" w:rsidR="00753C08" w:rsidRDefault="0339556A" w:rsidP="44C63251">
      <w:pPr>
        <w:spacing w:before="240" w:after="240"/>
      </w:pPr>
      <w:r w:rsidRPr="44C63251">
        <w:rPr>
          <w:rFonts w:ascii="Aptos" w:eastAsia="Aptos" w:hAnsi="Aptos" w:cs="Aptos"/>
        </w:rPr>
        <w:t xml:space="preserve"> MAHs must evaluate and approve all suppliers, maintain quality files, and conduct regular audits, especially for key suppliers.</w:t>
      </w:r>
    </w:p>
    <w:p w14:paraId="51ACE8DB" w14:textId="437360C2" w:rsidR="00753C08" w:rsidRDefault="0339556A" w:rsidP="44C63251">
      <w:pPr>
        <w:spacing w:before="240" w:after="240"/>
      </w:pPr>
      <w:r w:rsidRPr="44C63251">
        <w:rPr>
          <w:rFonts w:ascii="Aptos" w:eastAsia="Aptos" w:hAnsi="Aptos" w:cs="Aptos"/>
          <w:b/>
          <w:bCs/>
        </w:rPr>
        <w:t>(6) Strengthen Quality Review</w:t>
      </w:r>
    </w:p>
    <w:p w14:paraId="3AA4F75A" w14:textId="2DD64474" w:rsidR="00753C08" w:rsidRDefault="0339556A" w:rsidP="44C63251">
      <w:pPr>
        <w:spacing w:before="240" w:after="240"/>
      </w:pPr>
      <w:r w:rsidRPr="44C63251">
        <w:rPr>
          <w:rFonts w:ascii="Aptos" w:eastAsia="Aptos" w:hAnsi="Aptos" w:cs="Aptos"/>
        </w:rPr>
        <w:t xml:space="preserve"> MAHs must audit manufacturers’ quality control and release </w:t>
      </w:r>
      <w:proofErr w:type="gramStart"/>
      <w:r w:rsidRPr="44C63251">
        <w:rPr>
          <w:rFonts w:ascii="Aptos" w:eastAsia="Aptos" w:hAnsi="Aptos" w:cs="Aptos"/>
        </w:rPr>
        <w:t>capabilities, and</w:t>
      </w:r>
      <w:proofErr w:type="gramEnd"/>
      <w:r w:rsidRPr="44C63251">
        <w:rPr>
          <w:rFonts w:ascii="Aptos" w:eastAsia="Aptos" w:hAnsi="Aptos" w:cs="Aptos"/>
        </w:rPr>
        <w:t xml:space="preserve"> conduct incoming inspections. Additional tests may be added based on risk.</w:t>
      </w:r>
    </w:p>
    <w:p w14:paraId="0EB15836" w14:textId="55E3B56B" w:rsidR="00753C08" w:rsidRDefault="0339556A" w:rsidP="44C63251">
      <w:pPr>
        <w:spacing w:before="240" w:after="240"/>
      </w:pPr>
      <w:r w:rsidRPr="44C63251">
        <w:rPr>
          <w:rFonts w:ascii="Aptos" w:eastAsia="Aptos" w:hAnsi="Aptos" w:cs="Aptos"/>
          <w:b/>
          <w:bCs/>
        </w:rPr>
        <w:t>(7) Manage Changes Effectively</w:t>
      </w:r>
    </w:p>
    <w:p w14:paraId="66895732" w14:textId="76E663B6" w:rsidR="00753C08" w:rsidRDefault="0339556A" w:rsidP="44C63251">
      <w:pPr>
        <w:spacing w:before="240" w:after="240"/>
      </w:pPr>
      <w:r w:rsidRPr="44C63251">
        <w:rPr>
          <w:rFonts w:ascii="Aptos" w:eastAsia="Aptos" w:hAnsi="Aptos" w:cs="Aptos"/>
        </w:rPr>
        <w:t xml:space="preserve"> MAHs must monitor changes in materials, assess their impact, and follow regulatory procedures for approval or reporting. Changes in suppliers must comply with post-marketing change management requirements.</w:t>
      </w:r>
    </w:p>
    <w:p w14:paraId="3256A1DA" w14:textId="25D795C3" w:rsidR="00753C08" w:rsidRDefault="00753C08"/>
    <w:p w14:paraId="3923B383" w14:textId="754E2D28" w:rsidR="00753C08" w:rsidRDefault="0339556A" w:rsidP="44C63251">
      <w:pPr>
        <w:pStyle w:val="Heading3"/>
        <w:spacing w:before="281" w:after="281"/>
      </w:pPr>
      <w:r w:rsidRPr="44C63251">
        <w:rPr>
          <w:rFonts w:ascii="Aptos" w:eastAsia="Aptos" w:hAnsi="Aptos" w:cs="Aptos"/>
          <w:b/>
          <w:bCs/>
        </w:rPr>
        <w:t>3. Regulatory Authorities Must Enhance Supervision</w:t>
      </w:r>
    </w:p>
    <w:p w14:paraId="760F2057" w14:textId="087E1FC8" w:rsidR="00753C08" w:rsidRDefault="0339556A" w:rsidP="44C63251">
      <w:pPr>
        <w:spacing w:before="240" w:after="240"/>
      </w:pPr>
      <w:r w:rsidRPr="44C63251">
        <w:rPr>
          <w:rFonts w:ascii="Aptos" w:eastAsia="Aptos" w:hAnsi="Aptos" w:cs="Aptos"/>
          <w:b/>
          <w:bCs/>
        </w:rPr>
        <w:t>(8) Strengthen Inspections</w:t>
      </w:r>
    </w:p>
    <w:p w14:paraId="23B9EBB5" w14:textId="22C9AAEC" w:rsidR="00753C08" w:rsidRDefault="0339556A" w:rsidP="44C63251">
      <w:pPr>
        <w:spacing w:before="240" w:after="240"/>
      </w:pPr>
      <w:r w:rsidRPr="44C63251">
        <w:rPr>
          <w:rFonts w:ascii="Aptos" w:eastAsia="Aptos" w:hAnsi="Aptos" w:cs="Aptos"/>
        </w:rPr>
        <w:t xml:space="preserve"> Provincial regulators must promote policy awareness, supervise self-inspections, and use the NMPA platform to inspect registered manufacturers. Random quality checks may be conducted based on risk.</w:t>
      </w:r>
    </w:p>
    <w:p w14:paraId="06FC1191" w14:textId="553D58B9" w:rsidR="00753C08" w:rsidRDefault="0339556A" w:rsidP="44C63251">
      <w:pPr>
        <w:spacing w:before="240" w:after="240"/>
      </w:pPr>
      <w:r w:rsidRPr="44C63251">
        <w:rPr>
          <w:rFonts w:ascii="Aptos" w:eastAsia="Aptos" w:hAnsi="Aptos" w:cs="Aptos"/>
          <w:b/>
          <w:bCs/>
        </w:rPr>
        <w:t>(9) Handle Risks and Violations</w:t>
      </w:r>
    </w:p>
    <w:p w14:paraId="01F05A42" w14:textId="2908CADC" w:rsidR="00753C08" w:rsidRDefault="0339556A" w:rsidP="44C63251">
      <w:pPr>
        <w:spacing w:before="240" w:after="240"/>
      </w:pPr>
      <w:r w:rsidRPr="44C63251">
        <w:rPr>
          <w:rFonts w:ascii="Aptos" w:eastAsia="Aptos" w:hAnsi="Aptos" w:cs="Aptos"/>
        </w:rPr>
        <w:t xml:space="preserve"> Violations of the appendices will be investigated under Article 126 of the </w:t>
      </w:r>
      <w:r w:rsidRPr="44C63251">
        <w:rPr>
          <w:rFonts w:ascii="Aptos" w:eastAsia="Aptos" w:hAnsi="Aptos" w:cs="Aptos"/>
          <w:i/>
          <w:iCs/>
        </w:rPr>
        <w:t>Drug Administration Law</w:t>
      </w:r>
      <w:r w:rsidRPr="44C63251">
        <w:rPr>
          <w:rFonts w:ascii="Aptos" w:eastAsia="Aptos" w:hAnsi="Aptos" w:cs="Aptos"/>
        </w:rPr>
        <w:t xml:space="preserve">. MAHs must assess risks and take control measures. Serious </w:t>
      </w:r>
      <w:r w:rsidRPr="44C63251">
        <w:rPr>
          <w:rFonts w:ascii="Aptos" w:eastAsia="Aptos" w:hAnsi="Aptos" w:cs="Aptos"/>
        </w:rPr>
        <w:lastRenderedPageBreak/>
        <w:t>violations or failure to correct issues will be reported to the NMPA for potential registration status adjustment.</w:t>
      </w:r>
    </w:p>
    <w:p w14:paraId="718A6887" w14:textId="4A4AB947" w:rsidR="00753C08" w:rsidRDefault="0339556A" w:rsidP="44C63251">
      <w:pPr>
        <w:spacing w:before="240" w:after="240"/>
      </w:pPr>
      <w:r w:rsidRPr="44C63251">
        <w:rPr>
          <w:rFonts w:ascii="Aptos" w:eastAsia="Aptos" w:hAnsi="Aptos" w:cs="Aptos"/>
          <w:b/>
          <w:bCs/>
        </w:rPr>
        <w:t>(10) Other Matters</w:t>
      </w:r>
    </w:p>
    <w:p w14:paraId="6606EE0F" w14:textId="3608CA46" w:rsidR="00753C08" w:rsidRDefault="0339556A" w:rsidP="44C63251">
      <w:pPr>
        <w:spacing w:before="240" w:after="240"/>
      </w:pPr>
      <w:r w:rsidRPr="44C63251">
        <w:rPr>
          <w:rFonts w:ascii="Aptos" w:eastAsia="Aptos" w:hAnsi="Aptos" w:cs="Aptos"/>
        </w:rPr>
        <w:t xml:space="preserve"> This announcement takes effect on </w:t>
      </w:r>
      <w:r w:rsidRPr="44C63251">
        <w:rPr>
          <w:rFonts w:ascii="Aptos" w:eastAsia="Aptos" w:hAnsi="Aptos" w:cs="Aptos"/>
          <w:b/>
          <w:bCs/>
        </w:rPr>
        <w:t>January 1, 2026</w:t>
      </w:r>
      <w:r w:rsidRPr="44C63251">
        <w:rPr>
          <w:rFonts w:ascii="Aptos" w:eastAsia="Aptos" w:hAnsi="Aptos" w:cs="Aptos"/>
        </w:rPr>
        <w:t xml:space="preserve">. Before implementation, manufacturers must upgrade facilities and quality systems. The 2006 guidelines on excipient production are </w:t>
      </w:r>
      <w:proofErr w:type="gramStart"/>
      <w:r w:rsidRPr="44C63251">
        <w:rPr>
          <w:rFonts w:ascii="Aptos" w:eastAsia="Aptos" w:hAnsi="Aptos" w:cs="Aptos"/>
        </w:rPr>
        <w:t>repealed</w:t>
      </w:r>
      <w:proofErr w:type="gramEnd"/>
      <w:r w:rsidRPr="44C63251">
        <w:rPr>
          <w:rFonts w:ascii="Aptos" w:eastAsia="Aptos" w:hAnsi="Aptos" w:cs="Aptos"/>
        </w:rPr>
        <w:t>.</w:t>
      </w:r>
    </w:p>
    <w:p w14:paraId="4A7F55D6" w14:textId="1048CDD9" w:rsidR="00753C08" w:rsidRDefault="00753C08"/>
    <w:p w14:paraId="6B71B184" w14:textId="56605A54" w:rsidR="00753C08" w:rsidRDefault="0339556A" w:rsidP="44C63251">
      <w:pPr>
        <w:spacing w:before="240" w:after="240"/>
      </w:pPr>
      <w:r w:rsidRPr="44C63251">
        <w:rPr>
          <w:rFonts w:ascii="Aptos" w:eastAsia="Aptos" w:hAnsi="Aptos" w:cs="Aptos"/>
          <w:b/>
          <w:bCs/>
        </w:rPr>
        <w:t>Attachments:</w:t>
      </w:r>
    </w:p>
    <w:p w14:paraId="62927136" w14:textId="3B938D07" w:rsidR="00753C08" w:rsidRDefault="0339556A" w:rsidP="44C63251">
      <w:pPr>
        <w:pStyle w:val="ListParagraph"/>
        <w:numPr>
          <w:ilvl w:val="0"/>
          <w:numId w:val="1"/>
        </w:numPr>
        <w:spacing w:after="0"/>
        <w:rPr>
          <w:rFonts w:ascii="Aptos" w:eastAsia="Aptos" w:hAnsi="Aptos" w:cs="Aptos"/>
        </w:rPr>
      </w:pPr>
      <w:hyperlink r:id="rId5">
        <w:r w:rsidRPr="44C63251">
          <w:rPr>
            <w:rStyle w:val="Hyperlink"/>
            <w:rFonts w:ascii="Aptos" w:eastAsia="Aptos" w:hAnsi="Aptos" w:cs="Aptos"/>
          </w:rPr>
          <w:t>https://www.nmpa.gov.cn/directory/web/nmpa/images/1735798913077023640.docx</w:t>
        </w:r>
      </w:hyperlink>
    </w:p>
    <w:p w14:paraId="70F652F7" w14:textId="2F4B2959" w:rsidR="00753C08" w:rsidRDefault="0339556A" w:rsidP="44C63251">
      <w:pPr>
        <w:pStyle w:val="ListParagraph"/>
        <w:numPr>
          <w:ilvl w:val="0"/>
          <w:numId w:val="1"/>
        </w:numPr>
        <w:spacing w:after="0"/>
        <w:rPr>
          <w:rFonts w:ascii="Aptos" w:eastAsia="Aptos" w:hAnsi="Aptos" w:cs="Aptos"/>
        </w:rPr>
      </w:pPr>
      <w:hyperlink r:id="rId6">
        <w:r w:rsidRPr="44C63251">
          <w:rPr>
            <w:rStyle w:val="Hyperlink"/>
            <w:rFonts w:ascii="Aptos" w:eastAsia="Aptos" w:hAnsi="Aptos" w:cs="Aptos"/>
          </w:rPr>
          <w:t>https://www.nmpa.gov.cn/directory/web/nmpa/images/1735798926896082447.docx</w:t>
        </w:r>
      </w:hyperlink>
    </w:p>
    <w:p w14:paraId="4840670D" w14:textId="49223C9A" w:rsidR="00753C08" w:rsidRDefault="0339556A" w:rsidP="44C63251">
      <w:pPr>
        <w:spacing w:before="240" w:after="240"/>
      </w:pPr>
      <w:r w:rsidRPr="44C63251">
        <w:rPr>
          <w:rFonts w:ascii="Aptos" w:eastAsia="Aptos" w:hAnsi="Aptos" w:cs="Aptos"/>
          <w:b/>
          <w:bCs/>
        </w:rPr>
        <w:t>Issued by:</w:t>
      </w:r>
      <w:r w:rsidRPr="44C63251">
        <w:rPr>
          <w:rFonts w:ascii="Aptos" w:eastAsia="Aptos" w:hAnsi="Aptos" w:cs="Aptos"/>
        </w:rPr>
        <w:t xml:space="preserve"> National Medical Products Administration</w:t>
      </w:r>
    </w:p>
    <w:p w14:paraId="2C078E63" w14:textId="1B073597" w:rsidR="00753C08" w:rsidRDefault="0339556A" w:rsidP="44C63251">
      <w:pPr>
        <w:spacing w:before="240" w:after="240"/>
        <w:rPr>
          <w:rFonts w:ascii="Aptos" w:eastAsia="Aptos" w:hAnsi="Aptos" w:cs="Aptos"/>
        </w:rPr>
      </w:pPr>
      <w:r w:rsidRPr="44C63251">
        <w:rPr>
          <w:rFonts w:ascii="Aptos" w:eastAsia="Aptos" w:hAnsi="Aptos" w:cs="Aptos"/>
        </w:rPr>
        <w:t xml:space="preserve"> </w:t>
      </w:r>
      <w:r w:rsidRPr="44C63251">
        <w:rPr>
          <w:rFonts w:ascii="Aptos" w:eastAsia="Aptos" w:hAnsi="Aptos" w:cs="Aptos"/>
          <w:b/>
          <w:bCs/>
        </w:rPr>
        <w:t>Date:</w:t>
      </w:r>
      <w:r w:rsidRPr="44C63251">
        <w:rPr>
          <w:rFonts w:ascii="Aptos" w:eastAsia="Aptos" w:hAnsi="Aptos" w:cs="Aptos"/>
        </w:rPr>
        <w:t xml:space="preserve"> December 27, 2024</w:t>
      </w:r>
    </w:p>
    <w:p w14:paraId="6DC7D0CA" w14:textId="3C0AD71E" w:rsidR="00140873" w:rsidRDefault="00140873" w:rsidP="44C63251">
      <w:pPr>
        <w:spacing w:before="240" w:after="240"/>
        <w:rPr>
          <w:rFonts w:ascii="Aptos" w:eastAsia="Aptos" w:hAnsi="Aptos" w:cs="Aptos"/>
          <w:lang w:val="fr-FR"/>
        </w:rPr>
      </w:pPr>
      <w:r w:rsidRPr="00140873">
        <w:rPr>
          <w:rFonts w:ascii="Aptos" w:eastAsia="Aptos" w:hAnsi="Aptos" w:cs="Aptos"/>
          <w:lang w:val="fr-FR"/>
        </w:rPr>
        <w:t xml:space="preserve">Original </w:t>
      </w:r>
      <w:proofErr w:type="gramStart"/>
      <w:r w:rsidRPr="00140873">
        <w:rPr>
          <w:rFonts w:ascii="Aptos" w:eastAsia="Aptos" w:hAnsi="Aptos" w:cs="Aptos"/>
          <w:lang w:val="fr-FR"/>
        </w:rPr>
        <w:t>Source:</w:t>
      </w:r>
      <w:proofErr w:type="gramEnd"/>
      <w:r w:rsidRPr="00140873">
        <w:rPr>
          <w:rFonts w:ascii="Aptos" w:eastAsia="Aptos" w:hAnsi="Aptos" w:cs="Aptos"/>
          <w:lang w:val="fr-FR"/>
        </w:rPr>
        <w:t xml:space="preserve"> </w:t>
      </w:r>
      <w:hyperlink r:id="rId7" w:history="1">
        <w:r w:rsidRPr="000675DD">
          <w:rPr>
            <w:rStyle w:val="Hyperlink"/>
            <w:rFonts w:ascii="Aptos" w:eastAsia="Aptos" w:hAnsi="Aptos" w:cs="Aptos"/>
            <w:lang w:val="fr-FR"/>
          </w:rPr>
          <w:t>https://www.nmpa.gov.cn/xxgk/ggtg/ypggtg/ypqtggtg/20250102142249169.html</w:t>
        </w:r>
      </w:hyperlink>
    </w:p>
    <w:p w14:paraId="23175A9D" w14:textId="400C8D69" w:rsidR="00140873" w:rsidRPr="00140873" w:rsidRDefault="00140873" w:rsidP="44C63251">
      <w:pPr>
        <w:spacing w:before="240" w:after="240"/>
      </w:pPr>
      <w:r w:rsidRPr="00140873">
        <w:rPr>
          <w:rFonts w:ascii="Aptos" w:eastAsia="Aptos" w:hAnsi="Aptos" w:cs="Aptos"/>
        </w:rPr>
        <w:t>Translation Disclaimer: Rx-360 used Microsoft C</w:t>
      </w:r>
      <w:r>
        <w:rPr>
          <w:rFonts w:ascii="Aptos" w:eastAsia="Aptos" w:hAnsi="Aptos" w:cs="Aptos"/>
        </w:rPr>
        <w:t>opilot to translate the content from the original source.</w:t>
      </w:r>
    </w:p>
    <w:sectPr w:rsidR="00140873" w:rsidRPr="00140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4025D"/>
    <w:multiLevelType w:val="hybridMultilevel"/>
    <w:tmpl w:val="14E4F0AA"/>
    <w:lvl w:ilvl="0" w:tplc="2F36B942">
      <w:start w:val="1"/>
      <w:numFmt w:val="decimal"/>
      <w:lvlText w:val="%1."/>
      <w:lvlJc w:val="left"/>
      <w:pPr>
        <w:ind w:left="720" w:hanging="360"/>
      </w:pPr>
    </w:lvl>
    <w:lvl w:ilvl="1" w:tplc="96F4949A">
      <w:start w:val="1"/>
      <w:numFmt w:val="lowerLetter"/>
      <w:lvlText w:val="%2."/>
      <w:lvlJc w:val="left"/>
      <w:pPr>
        <w:ind w:left="1440" w:hanging="360"/>
      </w:pPr>
    </w:lvl>
    <w:lvl w:ilvl="2" w:tplc="5D66A47E">
      <w:start w:val="1"/>
      <w:numFmt w:val="lowerRoman"/>
      <w:lvlText w:val="%3."/>
      <w:lvlJc w:val="right"/>
      <w:pPr>
        <w:ind w:left="2160" w:hanging="180"/>
      </w:pPr>
    </w:lvl>
    <w:lvl w:ilvl="3" w:tplc="E39679C0">
      <w:start w:val="1"/>
      <w:numFmt w:val="decimal"/>
      <w:lvlText w:val="%4."/>
      <w:lvlJc w:val="left"/>
      <w:pPr>
        <w:ind w:left="2880" w:hanging="360"/>
      </w:pPr>
    </w:lvl>
    <w:lvl w:ilvl="4" w:tplc="1C5A30B6">
      <w:start w:val="1"/>
      <w:numFmt w:val="lowerLetter"/>
      <w:lvlText w:val="%5."/>
      <w:lvlJc w:val="left"/>
      <w:pPr>
        <w:ind w:left="3600" w:hanging="360"/>
      </w:pPr>
    </w:lvl>
    <w:lvl w:ilvl="5" w:tplc="336C3ED2">
      <w:start w:val="1"/>
      <w:numFmt w:val="lowerRoman"/>
      <w:lvlText w:val="%6."/>
      <w:lvlJc w:val="right"/>
      <w:pPr>
        <w:ind w:left="4320" w:hanging="180"/>
      </w:pPr>
    </w:lvl>
    <w:lvl w:ilvl="6" w:tplc="4A54F666">
      <w:start w:val="1"/>
      <w:numFmt w:val="decimal"/>
      <w:lvlText w:val="%7."/>
      <w:lvlJc w:val="left"/>
      <w:pPr>
        <w:ind w:left="5040" w:hanging="360"/>
      </w:pPr>
    </w:lvl>
    <w:lvl w:ilvl="7" w:tplc="48CE596A">
      <w:start w:val="1"/>
      <w:numFmt w:val="lowerLetter"/>
      <w:lvlText w:val="%8."/>
      <w:lvlJc w:val="left"/>
      <w:pPr>
        <w:ind w:left="5760" w:hanging="360"/>
      </w:pPr>
    </w:lvl>
    <w:lvl w:ilvl="8" w:tplc="CC3241F8">
      <w:start w:val="1"/>
      <w:numFmt w:val="lowerRoman"/>
      <w:lvlText w:val="%9."/>
      <w:lvlJc w:val="right"/>
      <w:pPr>
        <w:ind w:left="6480" w:hanging="180"/>
      </w:pPr>
    </w:lvl>
  </w:abstractNum>
  <w:num w:numId="1" w16cid:durableId="23798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327B84"/>
    <w:rsid w:val="00140873"/>
    <w:rsid w:val="006E472D"/>
    <w:rsid w:val="00753C08"/>
    <w:rsid w:val="0339556A"/>
    <w:rsid w:val="44C63251"/>
    <w:rsid w:val="7B32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7B84"/>
  <w15:chartTrackingRefBased/>
  <w15:docId w15:val="{2E4490FB-BD41-4785-812F-BA12AA24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4C63251"/>
    <w:pPr>
      <w:ind w:left="720"/>
      <w:contextualSpacing/>
    </w:pPr>
  </w:style>
  <w:style w:type="character" w:styleId="Hyperlink">
    <w:name w:val="Hyperlink"/>
    <w:basedOn w:val="DefaultParagraphFont"/>
    <w:uiPriority w:val="99"/>
    <w:unhideWhenUsed/>
    <w:rsid w:val="44C63251"/>
    <w:rPr>
      <w:color w:val="467886"/>
      <w:u w:val="single"/>
    </w:rPr>
  </w:style>
  <w:style w:type="character" w:styleId="UnresolvedMention">
    <w:name w:val="Unresolved Mention"/>
    <w:basedOn w:val="DefaultParagraphFont"/>
    <w:uiPriority w:val="99"/>
    <w:semiHidden/>
    <w:unhideWhenUsed/>
    <w:rsid w:val="0014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mpa.gov.cn/xxgk/ggtg/ypggtg/ypqtggtg/2025010214224916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mpa.gov.cn/directory/web/nmpa/images/1735798926896082447.docx" TargetMode="External"/><Relationship Id="rId5" Type="http://schemas.openxmlformats.org/officeDocument/2006/relationships/hyperlink" Target="https://www.nmpa.gov.cn/directory/web/nmpa/images/1735798913077023640.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3634</Characters>
  <Application>Microsoft Office Word</Application>
  <DocSecurity>0</DocSecurity>
  <Lines>62</Lines>
  <Paragraphs>60</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Battista</dc:creator>
  <cp:keywords/>
  <dc:description/>
  <cp:lastModifiedBy>Katie Battista</cp:lastModifiedBy>
  <cp:revision>2</cp:revision>
  <dcterms:created xsi:type="dcterms:W3CDTF">2025-11-06T19:13:00Z</dcterms:created>
  <dcterms:modified xsi:type="dcterms:W3CDTF">2025-11-07T20:31:00Z</dcterms:modified>
</cp:coreProperties>
</file>